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3039B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8"/>
                <w:szCs w:val="48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3039B">
              <w:rPr>
                <w:rFonts w:ascii="Arial" w:hAnsi="Arial" w:cs="Arial"/>
                <w:bCs w:val="0"/>
                <w:sz w:val="48"/>
                <w:szCs w:val="48"/>
              </w:rPr>
              <w:t>„</w:t>
            </w:r>
            <w:r w:rsidR="00FF45B3" w:rsidRPr="00FF45B3">
              <w:rPr>
                <w:rFonts w:ascii="Arial" w:hAnsi="Arial" w:cs="Arial"/>
                <w:bCs w:val="0"/>
                <w:sz w:val="48"/>
                <w:szCs w:val="48"/>
              </w:rPr>
              <w:t>Nákup vybavení ředitelny, sborovny, kabinetu výchovného poradce a metodika prevence, kmenových tříd pro žáky ZŠ Slezsk</w:t>
            </w:r>
            <w:r w:rsidR="00FF45B3">
              <w:rPr>
                <w:rFonts w:ascii="Arial" w:hAnsi="Arial" w:cs="Arial"/>
                <w:bCs w:val="0"/>
                <w:sz w:val="48"/>
                <w:szCs w:val="48"/>
              </w:rPr>
              <w:t xml:space="preserve">á Ostrava, Škrobálkova 51, </w:t>
            </w:r>
            <w:proofErr w:type="spellStart"/>
            <w:proofErr w:type="gramStart"/>
            <w:r w:rsidR="00FF45B3">
              <w:rPr>
                <w:rFonts w:ascii="Arial" w:hAnsi="Arial" w:cs="Arial"/>
                <w:bCs w:val="0"/>
                <w:sz w:val="48"/>
                <w:szCs w:val="48"/>
              </w:rPr>
              <w:t>p.o</w:t>
            </w:r>
            <w:proofErr w:type="spellEnd"/>
            <w:r w:rsidR="00FF45B3">
              <w:rPr>
                <w:rFonts w:ascii="Arial" w:hAnsi="Arial" w:cs="Arial"/>
                <w:bCs w:val="0"/>
                <w:sz w:val="48"/>
                <w:szCs w:val="48"/>
              </w:rPr>
              <w:t>.</w:t>
            </w:r>
            <w:proofErr w:type="gramEnd"/>
            <w:r w:rsidR="00FF45B3">
              <w:rPr>
                <w:rFonts w:ascii="Arial" w:hAnsi="Arial" w:cs="Arial"/>
                <w:bCs w:val="0"/>
                <w:sz w:val="48"/>
                <w:szCs w:val="48"/>
              </w:rPr>
              <w:t>“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0D" w:rsidRDefault="00D2280D">
      <w:r>
        <w:separator/>
      </w:r>
    </w:p>
  </w:endnote>
  <w:endnote w:type="continuationSeparator" w:id="0">
    <w:p w:rsidR="00D2280D" w:rsidRDefault="00D2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D183A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D183A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D183A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0D" w:rsidRDefault="00D2280D">
      <w:r>
        <w:separator/>
      </w:r>
    </w:p>
  </w:footnote>
  <w:footnote w:type="continuationSeparator" w:id="0">
    <w:p w:rsidR="00D2280D" w:rsidRDefault="00D2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Default="007F4DC8" w:rsidP="00623044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  Příloha č. 4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Default="007F4DC8" w:rsidP="00623044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         Příloha č. 4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825B5"/>
    <w:rsid w:val="00086E23"/>
    <w:rsid w:val="00093196"/>
    <w:rsid w:val="000A5CEE"/>
    <w:rsid w:val="000B0DF5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3072"/>
    <w:rsid w:val="004E698D"/>
    <w:rsid w:val="00502724"/>
    <w:rsid w:val="00517C7F"/>
    <w:rsid w:val="005205F0"/>
    <w:rsid w:val="00525A6C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B37F-B3E7-40CB-809B-1A194275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8</cp:revision>
  <cp:lastPrinted>2019-11-07T10:01:00Z</cp:lastPrinted>
  <dcterms:created xsi:type="dcterms:W3CDTF">2019-10-20T15:57:00Z</dcterms:created>
  <dcterms:modified xsi:type="dcterms:W3CDTF">2019-11-07T10:01:00Z</dcterms:modified>
</cp:coreProperties>
</file>